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行政起诉状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1984年02月22日出生, 汉族, 公民身份号431126198402221233, </w:t>
      </w:r>
    </w:p>
    <w:p w14:paraId="714E5E51">
      <w:pPr>
        <w:pStyle w:val="style0"/>
        <w:kinsoku w:val="false"/>
        <w:autoSpaceDE w:val="false"/>
        <w:autoSpaceDN w:val="false"/>
        <w:adjustRightInd w:val="false"/>
        <w:snapToGrid w:val="false"/>
        <w:spacing w:before="103" w:lineRule="auto" w:line="175"/>
        <w:ind w:firstLineChars="20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住四川省成都市高新区天府大道北段18号附10号, 电话15010458040。</w:t>
      </w:r>
    </w:p>
    <w:p w14:paraId="5CA01650">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北京国家金融科技认证中心有限公司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统一社会信用码911101025825745052, 法定代表人:张海燕, 住北京市西城区西外大街136号5层1-17-503a, 电话010-83111275。</w:t>
      </w:r>
    </w:p>
    <w:p w14:paraId="EF3E347D">
      <w:pPr>
        <w:pStyle w:val="style0"/>
        <w:kinsoku w:val="false"/>
        <w:autoSpaceDE w:val="false"/>
        <w:autoSpaceDN w:val="false"/>
        <w:adjustRightInd w:val="false"/>
        <w:snapToGrid w:val="false"/>
        <w:spacing w:before="103" w:lineRule="auto" w:line="180"/>
        <w:ind w:left="34"/>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名词解释:</w:t>
      </w:r>
    </w:p>
    <w:p w14:paraId="A7A87A75">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中国</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中华人民共和国。</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8C10C32D">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国家工商注册查询, </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是</w:t>
      </w:r>
      <w:r>
        <w:rPr>
          <w:rFonts w:ascii="宋体" w:cs="Times New Roman" w:eastAsia="宋体" w:hAnsi="Times New Roman" w:hint="default"/>
          <w:b/>
          <w:bCs/>
          <w:i w:val="false"/>
          <w:iCs w:val="false"/>
          <w:noProof/>
          <w:snapToGrid w:val="false"/>
          <w:color w:val="auto"/>
          <w:kern w:val="2"/>
          <w:sz w:val="24"/>
          <w:szCs w:val="24"/>
          <w:highlight w:val="none"/>
          <w:u w:val="single"/>
          <w:vertAlign w:val="baseline"/>
          <w:em w:val="none"/>
          <w:lang w:val="en-US" w:bidi="ar-SA" w:eastAsia="zh-CN"/>
        </w:rPr>
        <w:t>人行通过"中国金融电子化公司"全资控股的子公司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val="false"/>
          <w:bCs w:val="false"/>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eastAsia"/>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D1DF69C6">
      <w:pPr>
        <w:adjustRightInd/>
        <w:snapToGrid/>
        <w:spacing w:lineRule="auto" w:line="240"/>
        <w:jc w:val="both"/>
        <w:outlineLvl w:val="9"/>
        <w:rPr/>
      </w:pP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为防止"一鉴定就合格"而"用户一用就千奇百怪"，</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F6BCC25">
      <w:pPr>
        <w:adjustRightInd/>
        <w:snapToGrid/>
        <w:spacing w:lineRule="auto" w:line="24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也不排除其竞争对手操纵；</w:t>
      </w:r>
    </w:p>
    <w:p w14:paraId="9EE597DE">
      <w:pPr>
        <w:adjustRightInd/>
        <w:snapToGrid/>
        <w:spacing w:lineRule="auto" w:line="24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11C9CCEF">
      <w:pPr>
        <w:adjustRightInd/>
        <w:snapToGrid/>
        <w:spacing w:lineRule="auto" w:line="240"/>
        <w:jc w:val="both"/>
        <w:outlineLvl w:val="9"/>
        <w:rPr/>
      </w:pPr>
    </w:p>
    <w:p w14:paraId="02D4A64D">
      <w:pPr>
        <w:pStyle w:val="style179"/>
        <w:numPr>
          <w:ilvl w:val="0"/>
          <w:numId w:val="56"/>
        </w:numPr>
        <w:adjustRightInd/>
        <w:snapToGrid/>
        <w:spacing w:lineRule="auto" w:line="240"/>
        <w:ind w:firstLineChars="0"/>
        <w:jc w:val="both"/>
        <w:outlineLvl w:val="9"/>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确认"国金认证"于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46208BDA">
      <w:pPr>
        <w:adjustRightInd/>
        <w:snapToGrid/>
        <w:spacing w:lineRule="auto" w:line="240"/>
        <w:ind w:left="630" w:leftChars="0" w:firstLine="0" w:firstLineChars="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过程不公正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GB/T41460-2022)</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6FF977DC">
      <w:pPr>
        <w:adjustRightInd/>
        <w:snapToGrid/>
        <w:spacing w:lineRule="auto" w:line="240"/>
        <w:ind w:left="630" w:leftChars="0" w:firstLine="0" w:firstLineChars="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71CEA299">
      <w:pPr>
        <w:pStyle w:val="style179"/>
        <w:numPr>
          <w:ilvl w:val="0"/>
          <w:numId w:val="56"/>
        </w:numPr>
        <w:adjustRightInd/>
        <w:snapToGrid/>
        <w:spacing w:lineRule="auto" w:line="240"/>
        <w:ind w:firstLineChars="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确认"人行"违法违规于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"支付业务许可证"，没有依据合规有效的"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非银行支付机构支付业务设施技术认证（一级)"。</w:t>
      </w:r>
    </w:p>
    <w:p w14:paraId="B8D7E901">
      <w:pPr>
        <w:pStyle w:val="style179"/>
        <w:numPr>
          <w:ilvl w:val="0"/>
          <w:numId w:val="56"/>
        </w:numPr>
        <w:adjustRightInd/>
        <w:snapToGrid/>
        <w:spacing w:lineRule="auto" w:line="240"/>
        <w:ind w:firstLineChars="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由人行自主决定</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处理"</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编号:Z2000444000013"的"支付业务许可证",</w:t>
      </w:r>
    </w:p>
    <w:p w14:paraId="10388A92">
      <w:pPr>
        <w:pStyle w:val="style179"/>
        <w:numPr>
          <w:ilvl w:val="0"/>
          <w:numId w:val="0"/>
        </w:numPr>
        <w:adjustRightInd/>
        <w:snapToGrid/>
        <w:spacing w:lineRule="auto" w:line="240"/>
        <w:ind w:left="420" w:firstLine="0" w:firstLineChars="0"/>
        <w:jc w:val="both"/>
        <w:outlineLvl w:val="9"/>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DD638272">
      <w:pPr>
        <w:pStyle w:val="style179"/>
        <w:numPr>
          <w:ilvl w:val="0"/>
          <w:numId w:val="56"/>
        </w:numPr>
        <w:adjustRightInd/>
        <w:snapToGrid/>
        <w:spacing w:lineRule="auto" w:line="240"/>
        <w:ind w:firstLineChars="0"/>
        <w:jc w:val="both"/>
        <w:outlineLvl w:val="9"/>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被告对造成原告的损害，支付赔偿金</w:t>
      </w:r>
      <w:r>
        <w:rPr>
          <w:rFonts w:ascii="宋体"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20279700.00元人民币。</w:t>
      </w:r>
    </w:p>
    <w:p w14:paraId="01DB1C3A">
      <w:pPr>
        <w:pStyle w:val="style179"/>
        <w:numPr>
          <w:ilvl w:val="0"/>
          <w:numId w:val="56"/>
        </w:numPr>
        <w:adjustRightInd/>
        <w:snapToGrid/>
        <w:spacing w:lineRule="auto" w:line="240"/>
        <w:ind w:firstLineChars="0"/>
        <w:jc w:val="both"/>
        <w:outlineLvl w:val="9"/>
        <w:rPr/>
      </w:pP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由有关国家机关对人行的错误行政许可行为，提起公益行政诉讼、并公开听证。</w:t>
      </w:r>
    </w:p>
    <w:p w14:paraId="3F70924C">
      <w:pPr>
        <w:pStyle w:val="style179"/>
        <w:numPr>
          <w:ilvl w:val="0"/>
          <w:numId w:val="56"/>
        </w:numPr>
        <w:adjustRightInd/>
        <w:snapToGrid/>
        <w:spacing w:lineRule="auto" w:line="240"/>
        <w:ind w:firstLineChars="0"/>
        <w:jc w:val="both"/>
        <w:outlineLvl w:val="9"/>
        <w:rPr/>
      </w:pPr>
      <w:r>
        <w:rPr>
          <w:rFonts w:ascii="宋体" w:cs="黑体"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按照国家法规依法公开本案</w:t>
      </w:r>
      <w:r>
        <w:rPr>
          <w:rFonts w:ascii="宋体" w:cs="黑体"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，对因违法违规颁发许可而被侵占权利或造成损失的有关人员、法人、组织，</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给予行政补偿、赔偿</w:t>
      </w:r>
      <w:r>
        <w:rPr>
          <w:rFonts w:ascii="宋体" w:cs="仿宋_GB2312" w:eastAsia="宋体" w:hAnsi="仿宋_GB2312"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0B960EF">
      <w:pPr>
        <w:pStyle w:val="style0"/>
        <w:adjustRightInd/>
        <w:snapToGrid/>
        <w:spacing w:lineRule="auto" w:line="240"/>
        <w:jc w:val="both"/>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02264F8D">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《中华人民共和国宪法》</w:t>
      </w:r>
    </w:p>
    <w:p w14:paraId="F5BCD03B">
      <w:pPr>
        <w:adjustRightInd/>
        <w:snapToGrid/>
        <w:spacing w:lineRule="auto" w:line="240"/>
        <w:ind w:left="210" w:leftChars="0"/>
        <w:jc w:val="both"/>
        <w:outlineLvl w:val="9"/>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C4F115DD">
      <w:pPr>
        <w:adjustRightInd/>
        <w:snapToGrid/>
        <w:spacing w:lineRule="auto" w:line="240"/>
        <w:ind w:left="630" w:leftChars="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1079E602">
      <w:pPr>
        <w:adjustRightInd/>
        <w:snapToGrid/>
        <w:spacing w:lineRule="auto" w:line="240"/>
        <w:ind w:left="210" w:leftChars="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96646016">
      <w:pPr>
        <w:adjustRightInd/>
        <w:snapToGrid/>
        <w:spacing w:lineRule="auto" w:line="240"/>
        <w:ind w:left="630" w:leftChars="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FFEED278">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《中华人民共和国中国人民银行法（修正）》</w:t>
      </w:r>
    </w:p>
    <w:p w14:paraId="E963B473">
      <w:pPr>
        <w:adjustRightInd/>
        <w:snapToGrid/>
        <w:spacing w:lineRule="auto" w:line="240"/>
        <w:ind w:left="210" w:leftChars="0"/>
        <w:jc w:val="both"/>
        <w:outlineLvl w:val="9"/>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人行违法颁发支付许可证怎么"维护支付、清算系统的正常运行"；</w:t>
      </w:r>
    </w:p>
    <w:p w14:paraId="21E32A99">
      <w:pPr>
        <w:adjustRightInd/>
        <w:snapToGrid/>
        <w:spacing w:lineRule="auto" w:line="240"/>
        <w:ind w:left="630" w:leftChars="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E398488D">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《中华人民共和国行政许可法》</w:t>
      </w:r>
    </w:p>
    <w:p w14:paraId="DD174523">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38D402B4">
      <w:pPr>
        <w:adjustRightInd/>
        <w:snapToGrid/>
        <w:spacing w:lineRule="auto" w:line="240"/>
        <w:ind w:left="1050" w:leftChars="0"/>
        <w:jc w:val="both"/>
        <w:outlineLvl w:val="9"/>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FE44BF89">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B53ADAC">
      <w:pPr>
        <w:adjustRightInd/>
        <w:snapToGrid/>
        <w:spacing w:lineRule="auto" w:line="240"/>
        <w:jc w:val="both"/>
        <w:outlineLvl w:val="9"/>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4C87B380">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国务院令第768号《非银行支付机构监督管理条例》</w:t>
      </w:r>
    </w:p>
    <w:p w14:paraId="89AE41C1">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被告对"非银行支付机构",要加强主体监督管理责任,</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更新认证及许可证的标准。</w:t>
      </w:r>
    </w:p>
    <w:p w14:paraId="6B932BEB">
      <w:pPr>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"分类监督管理、定系统重要性非银行支付机构认定标准和监督管理规则"。</w:t>
      </w:r>
    </w:p>
    <w:p w14:paraId="A6CDDFAC">
      <w:pPr>
        <w:adjustRightInd/>
        <w:snapToGrid/>
        <w:spacing w:lineRule="auto" w:line="240"/>
        <w:jc w:val="both"/>
        <w:outlineLvl w:val="9"/>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人行应当化解非银行支付风险。</w:t>
      </w:r>
    </w:p>
    <w:p w14:paraId="1FF5091C">
      <w:pPr>
        <w:adjustRightInd/>
        <w:snapToGrid/>
        <w:spacing w:lineRule="auto" w:line="240"/>
        <w:jc w:val="both"/>
        <w:outlineLvl w:val="9"/>
        <w:rPr/>
      </w:pP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人行《非银行支付机构网络支付业务管理办法》</w:t>
      </w:r>
    </w:p>
    <w:p w14:paraId="56F56E6E">
      <w:pPr>
        <w:adjustRightInd/>
        <w:snapToGrid/>
        <w:spacing w:lineRule="auto" w:line="240"/>
        <w:ind w:left="210" w:leftChars="0"/>
        <w:jc w:val="both"/>
        <w:outlineLvl w:val="9"/>
        <w:rPr/>
      </w:pPr>
      <w:r>
        <w:rPr>
          <w:rFonts w:ascii="宋体" w:cs="黑体" w:eastAsia="宋体" w:hAnsi="黑体" w:hint="default"/>
          <w:b w:val="false"/>
          <w:bCs w:val="false"/>
          <w:i w:val="false"/>
          <w:iCs w:val="false"/>
          <w:color w:val="auto"/>
          <w:kern w:val="2"/>
          <w:sz w:val="24"/>
          <w:szCs w:val="24"/>
          <w:highlight w:val="none"/>
          <w:u w:val="single" w:color="auto"/>
          <w:vertAlign w:val="baseline"/>
          <w:em w:val="none"/>
          <w:lang w:val="en-US" w:bidi="ar-SA" w:eastAsia="zh-CN"/>
        </w:rPr>
        <w:t>第三十二条</w:t>
      </w:r>
      <w:r>
        <w:rPr>
          <w:rFonts w:ascii="宋体" w:cs="黑体" w:eastAsia="宋体" w:hAnsi="黑体" w:hint="default"/>
          <w:b w:val="false"/>
          <w:bCs w:val="false"/>
          <w:i w:val="false"/>
          <w:iCs w:val="false"/>
          <w:color w:val="auto"/>
          <w:kern w:val="2"/>
          <w:sz w:val="24"/>
          <w:szCs w:val="24"/>
          <w:highlight w:val="none"/>
          <w:u w:val="single" w:color="auto"/>
          <w:vertAlign w:val="baseline"/>
          <w:em w:val="none"/>
          <w:lang w:val="en-US" w:bidi="ar-SA" w:eastAsia="zh-CN"/>
        </w:rPr>
        <w:t xml:space="preserve"> </w:t>
      </w: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"中国人民银行确立支付机构分类监管指标体系，建立持续分类评价工作机制，并对支付机构实施动态分类管理。具体办法由中国人民银行另行制定"。</w:t>
      </w:r>
    </w:p>
    <w:p w14:paraId="A8D537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eastAsia"/>
          <w:b w:val="false"/>
          <w:bCs w:val="false"/>
          <w:sz w:val="24"/>
          <w:szCs w:val="24"/>
          <w:u w:val="none"/>
          <w:lang w:val="en-US" w:eastAsia="zh-CN"/>
        </w:rPr>
      </w:pP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4DB0BBC3">
      <w:pPr>
        <w:pStyle w:val="style179"/>
        <w:numPr>
          <w:ilvl w:val="0"/>
          <w:numId w:val="58"/>
        </w:numPr>
        <w:adjustRightInd/>
        <w:snapToGrid/>
        <w:spacing w:lineRule="auto" w:line="240"/>
        <w:ind w:firstLineChars="0"/>
        <w:jc w:val="both"/>
        <w:outlineLvl w:val="9"/>
        <w:rPr/>
      </w:pPr>
      <w:r>
        <w:rPr>
          <w:rFonts w:ascii="宋体" w:cs="仿宋_GB2312" w:eastAsia="宋体" w:hAnsi="宋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中国人民银行的"非银行支付机构支付业务设施技术要求"三年前已经升级"国家标准"</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792EA39">
      <w:pPr>
        <w:adjustRightInd/>
        <w:snapToGrid/>
        <w:spacing w:lineRule="auto" w:line="240"/>
        <w:ind w:left="420" w:firstLine="0" w:firstLineChars="0"/>
        <w:jc w:val="both"/>
        <w:outlineLvl w:val="9"/>
        <w:rPr/>
      </w:pP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适用"旧2018行业标准"有关条款的,</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那么</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应换"新2022国家标准"的对等条目</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CB6B2986">
      <w:pPr>
        <w:adjustRightInd/>
        <w:snapToGrid/>
        <w:spacing w:lineRule="auto" w:line="240"/>
        <w:ind w:left="420" w:firstLine="0" w:firstLineChars="0"/>
        <w:jc w:val="both"/>
        <w:outlineLvl w:val="9"/>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2018旧版"行业标准"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JR/T</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0122-2018,</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F1E4E0E">
      <w:pPr>
        <w:adjustRightInd/>
        <w:snapToGrid/>
        <w:spacing w:lineRule="auto" w:line="240"/>
        <w:ind w:left="630" w:leftChars="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2F118B77">
      <w:pPr>
        <w:adjustRightInd/>
        <w:snapToGrid/>
        <w:spacing w:lineRule="auto" w:line="240"/>
        <w:ind w:left="630" w:leftChars="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支付服务方应将部分或全部已扣款项退还至客户的原扣款账户。"</w:t>
      </w:r>
    </w:p>
    <w:p w14:paraId="2779ADE5">
      <w:pPr>
        <w:adjustRightInd/>
        <w:snapToGrid/>
        <w:spacing w:lineRule="auto" w:line="240"/>
        <w:ind w:left="420" w:firstLine="0" w:firstLineChars="0"/>
        <w:jc w:val="both"/>
        <w:outlineLvl w:val="9"/>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2022新版"国家标准"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GB/T41460-2022,</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摘要其"5.2.7.1</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单笔退款":</w:t>
      </w:r>
    </w:p>
    <w:p w14:paraId="CBCF827F">
      <w:pPr>
        <w:adjustRightInd/>
        <w:snapToGrid/>
        <w:spacing w:lineRule="auto" w:line="240"/>
        <w:ind w:left="630" w:leftChars="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4DD9F46">
      <w:pPr>
        <w:pStyle w:val="style179"/>
        <w:numPr>
          <w:ilvl w:val="0"/>
          <w:numId w:val="58"/>
        </w:numPr>
        <w:adjustRightInd/>
        <w:snapToGrid/>
        <w:spacing w:lineRule="auto" w:line="240"/>
        <w:ind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终端"微信支付"对"已注销收款账户"的"单笔退款"错误行为是:</w:t>
      </w:r>
    </w:p>
    <w:p w14:paraId="1F10E731">
      <w:pPr>
        <w:pStyle w:val="style179"/>
        <w:numPr>
          <w:ilvl w:val="0"/>
          <w:numId w:val="60"/>
        </w:numPr>
        <w:kinsoku w:val="false"/>
        <w:autoSpaceDE w:val="false"/>
        <w:autoSpaceDN w:val="false"/>
        <w:adjustRightInd/>
        <w:snapToGrid/>
        <w:spacing w:lineRule="auto" w:line="240"/>
        <w:ind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2D897AD">
      <w:pPr>
        <w:kinsoku w:val="false"/>
        <w:autoSpaceDE w:val="false"/>
        <w:autoSpaceDN w:val="false"/>
        <w:adjustRightInd/>
        <w:snapToGrid/>
        <w:spacing w:lineRule="auto" w:line="240"/>
        <w:ind w:left="840" w:firstLine="0" w:firstLineChars="0"/>
        <w:jc w:val="both"/>
        <w:outlineLvl w:val="9"/>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违反国务院令第768号《非银行支付机构监督管理条例》的第十八条。</w:t>
      </w:r>
    </w:p>
    <w:p w14:paraId="683DDFDA">
      <w:pPr>
        <w:pStyle w:val="style179"/>
        <w:numPr>
          <w:ilvl w:val="0"/>
          <w:numId w:val="60"/>
        </w:numPr>
        <w:kinsoku w:val="false"/>
        <w:autoSpaceDE w:val="false"/>
        <w:autoSpaceDN w:val="false"/>
        <w:adjustRightInd/>
        <w:snapToGrid/>
        <w:spacing w:lineRule="auto" w:line="240"/>
        <w:ind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只</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在立案后,</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微信支付才</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A75C04E">
      <w:pPr>
        <w:adjustRightInd/>
        <w:snapToGrid/>
        <w:spacing w:lineRule="auto" w:line="240"/>
        <w:ind w:left="840" w:left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373A3772">
      <w:pPr>
        <w:adjustRightInd/>
        <w:snapToGrid/>
        <w:spacing w:lineRule="auto" w:line="240"/>
        <w:ind w:left="420" w:leftChars="0" w:firstLineChars="20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单笔退款"应退款至付款方(淘宝)其他账户。</w:t>
      </w:r>
    </w:p>
    <w:p w14:paraId="D187A96C">
      <w:pPr>
        <w:pStyle w:val="style179"/>
        <w:numPr>
          <w:ilvl w:val="0"/>
          <w:numId w:val="58"/>
        </w:numPr>
        <w:kinsoku w:val="false"/>
        <w:autoSpaceDE w:val="false"/>
        <w:autoSpaceDN w:val="false"/>
        <w:adjustRightInd/>
        <w:snapToGrid/>
        <w:spacing w:lineRule="auto" w:line="240"/>
        <w:ind w:firstLineChars="0"/>
        <w:jc w:val="both"/>
        <w:outlineLvl w:val="9"/>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CA3D643B">
      <w:pPr>
        <w:pStyle w:val="style179"/>
        <w:numPr>
          <w:ilvl w:val="0"/>
          <w:numId w:val="58"/>
        </w:numPr>
        <w:kinsoku w:val="false"/>
        <w:autoSpaceDE w:val="false"/>
        <w:autoSpaceDN w:val="false"/>
        <w:adjustRightInd/>
        <w:snapToGrid/>
        <w:spacing w:lineRule="auto" w:line="240"/>
        <w:ind w:firstLineChars="0"/>
        <w:jc w:val="both"/>
        <w:outlineLvl w:val="9"/>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"支付业务许可证"给"微信支付"</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w:t>
      </w:r>
    </w:p>
    <w:p w14:paraId="601D67CD">
      <w:pPr>
        <w:adjustRightInd/>
        <w:snapToGrid/>
        <w:spacing w:lineRule="auto" w:line="240"/>
        <w:ind w:left="420" w:firstLine="0" w:firstLineChars="0"/>
        <w:jc w:val="both"/>
        <w:outlineLvl w:val="9"/>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有效期至2026-05-02,</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"类型:储值账户运营I类、支付交易处理I类"。</w:t>
      </w:r>
    </w:p>
    <w:p w14:paraId="0FFFBC21">
      <w:pPr>
        <w:pStyle w:val="style179"/>
        <w:numPr>
          <w:ilvl w:val="0"/>
          <w:numId w:val="58"/>
        </w:numPr>
        <w:adjustRightInd/>
        <w:snapToGrid/>
        <w:spacing w:lineRule="auto" w:line="240"/>
        <w:ind w:firstLineChars="0"/>
        <w:jc w:val="both"/>
        <w:outlineLvl w:val="9"/>
        <w:rPr/>
      </w:pPr>
      <w:r>
        <w:rPr>
          <w:rFonts w:ascii="宋体"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起诉期+审理期用时估计</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宋体"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111天</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(比照"诉微信支付案"(2025)粤0391民初8980号的)。</w:t>
      </w:r>
    </w:p>
    <w:p w14:paraId="060A001E">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比照"微信支付",</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2025-06-22计起,</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至今9月3日已用</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71天</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992688EB">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审理期用时40天(全国首家互联网法院"杭州互联网法院"统计网审案大概用40天)。</w:t>
      </w:r>
    </w:p>
    <w:p w14:paraId="DD82AC17">
      <w:pPr>
        <w:pStyle w:val="style179"/>
        <w:numPr>
          <w:ilvl w:val="0"/>
          <w:numId w:val="58"/>
        </w:numPr>
        <w:adjustRightInd/>
        <w:snapToGrid/>
        <w:spacing w:lineRule="auto" w:line="240"/>
        <w:ind w:firstLineChars="0"/>
        <w:jc w:val="both"/>
        <w:outlineLvl w:val="9"/>
        <w:rPr/>
      </w:pP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赔偿损失的参照模型:</w:t>
      </w:r>
    </w:p>
    <w:p w14:paraId="01BEEEF2">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原告系统性地为中央及国家避免风险,</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规范制度流程,</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激活组织,</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保障社会经济秩序。</w:t>
      </w:r>
    </w:p>
    <w:p w14:paraId="AF13CC07">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对赔偿总额</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放大系数值可合理的设置成:</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20.0(奖功</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性赔偿</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AB6FFDE">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8F7AEEB2">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①法院可以要求被告提供其法定代表人的年收入作为赔偿参考基准。</w:t>
      </w:r>
    </w:p>
    <w:p w14:paraId="7F786FFA">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②原告保守估计现年收入:</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383.65万元/年,</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根据历史薪资计算年均增长率估值模型:</w:t>
      </w:r>
    </w:p>
    <w:p w14:paraId="3C940957">
      <w:pPr>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2008年月薪7千，2018年月薪10万,</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即年均增长15.49%;</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p>
    <w:p w14:paraId="39E8EA5B">
      <w:pPr>
        <w:adjustRightInd/>
        <w:snapToGrid/>
        <w:spacing w:lineRule="auto" w:line="240"/>
        <w:ind w:left="63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估计2025年月薪274040;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换算成日薪:</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0.9135万元/天，或大约27.40万元/月。</w:t>
      </w:r>
    </w:p>
    <w:p w14:paraId="4E8A194D">
      <w:pPr>
        <w:adjustRightInd/>
        <w:snapToGrid/>
        <w:spacing w:lineRule="auto" w:line="240"/>
        <w:ind w:left="630" w:leftChars="0"/>
        <w:jc w:val="both"/>
        <w:outlineLvl w:val="9"/>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则被告分担赔偿金额</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20279700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元[</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20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×（71+40)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×0.9135×10000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C9CA24B6">
      <w:pPr>
        <w:adjustRightInd/>
        <w:snapToGrid/>
        <w:spacing w:lineRule="auto" w:line="240"/>
        <w:jc w:val="both"/>
        <w:outlineLvl w:val="9"/>
        <w:rPr/>
      </w:pPr>
    </w:p>
    <w:p w14:paraId="C38CAA8E">
      <w:pPr>
        <w:adjustRightInd/>
        <w:snapToGrid/>
        <w:spacing w:lineRule="auto" w:line="240"/>
        <w:jc w:val="both"/>
        <w:outlineLvl w:val="9"/>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证据</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73340AF">
      <w:pPr>
        <w:adjustRightInd/>
        <w:snapToGrid/>
        <w:spacing w:lineRule="auto" w:line="240"/>
        <w:ind w:firstLine="420" w:firstLineChars="0"/>
        <w:jc w:val="both"/>
        <w:outlineLvl w:val="9"/>
        <w:rPr/>
      </w:pPr>
      <w:r>
        <w:rPr>
          <w:rFonts w:ascii="宋体" w:cs="仿宋_GB2312" w:eastAsia="宋体" w:hAnsi="仿宋_GB2312" w:hint="default"/>
          <w:b w:val="false"/>
          <w:bCs w:val="false"/>
          <w:i w:val="false"/>
          <w:iCs w:val="false"/>
          <w:noProof/>
          <w:snapToGrid w:val="false"/>
          <w:color w:val="auto"/>
          <w:kern w:val="2"/>
          <w:sz w:val="24"/>
          <w:szCs w:val="24"/>
          <w:highlight w:val="none"/>
          <w:vertAlign w:val="baseline"/>
          <w:em w:val="none"/>
          <w:lang w:val="en-US" w:bidi="ar-SA" w:eastAsia="zh-CN"/>
        </w:rPr>
        <w:t>证据1.</w:t>
      </w:r>
      <w:r>
        <w:rPr>
          <w:rFonts w:ascii="宋体" w:cs="仿宋_GB2312" w:eastAsia="宋体" w:hAnsi="仿宋_GB2312" w:hint="default"/>
          <w:b w:val="false"/>
          <w:bCs w:val="false"/>
          <w:i w:val="false"/>
          <w:iCs w:val="false"/>
          <w:noProof/>
          <w:snapToGrid w:val="false"/>
          <w:color w:val="auto"/>
          <w:kern w:val="2"/>
          <w:sz w:val="24"/>
          <w:szCs w:val="24"/>
          <w:highlight w:val="none"/>
          <w:vertAlign w:val="baseline"/>
          <w:em w:val="none"/>
          <w:lang w:val="en-US" w:bidi="ar-SA" w:eastAsia="zh-CN"/>
        </w:rPr>
        <w:t xml:space="preserve"> </w:t>
      </w:r>
      <w:r>
        <w:rPr>
          <w:rFonts w:ascii="宋体" w:cs="仿宋_GB2312" w:eastAsia="宋体" w:hAnsi="仿宋_GB2312" w:hint="default"/>
          <w:b w:val="false"/>
          <w:bCs w:val="false"/>
          <w:i w:val="false"/>
          <w:iCs w:val="false"/>
          <w:noProof/>
          <w:snapToGrid w:val="false"/>
          <w:color w:val="auto"/>
          <w:kern w:val="2"/>
          <w:sz w:val="24"/>
          <w:szCs w:val="24"/>
          <w:highlight w:val="none"/>
          <w:vertAlign w:val="baseline"/>
          <w:em w:val="none"/>
          <w:lang w:val="en-US" w:bidi="ar-SA" w:eastAsia="zh-CN"/>
        </w:rPr>
        <w:t>微信支付交易记录;</w:t>
      </w:r>
    </w:p>
    <w:p w14:paraId="EF66F342">
      <w:pPr>
        <w:adjustRightInd/>
        <w:snapToGrid/>
        <w:spacing w:lineRule="auto" w:line="240"/>
        <w:ind w:firstLine="42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证据2.</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关于《非银行支付机构支付业务设施技术要求》的"单笔退款"，对比:</w:t>
      </w:r>
    </w:p>
    <w:p w14:paraId="D1460C98">
      <w:pPr>
        <w:adjustRightInd/>
        <w:snapToGrid/>
        <w:spacing w:lineRule="auto" w:line="240"/>
        <w:ind w:left="42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旧2018版行业标准JR/T0122-201"的。</w:t>
      </w:r>
    </w:p>
    <w:p w14:paraId="8592907F">
      <w:pPr>
        <w:adjustRightInd/>
        <w:snapToGrid/>
        <w:spacing w:lineRule="auto" w:line="240"/>
        <w:ind w:firstLine="42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证据3.</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财付通资格认证，包括:</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"支付业务许可证"(编号Z2000444000013)，</w:t>
      </w:r>
    </w:p>
    <w:p w14:paraId="E49AED0A">
      <w:pPr>
        <w:adjustRightInd/>
        <w:snapToGrid/>
        <w:spacing w:lineRule="auto" w:line="240"/>
        <w:ind w:left="42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"非银行支付机构支付业务设施技术认证"服务认证证书(注册号CFNR201901440574)。</w:t>
      </w:r>
    </w:p>
    <w:p w14:paraId="577006DF">
      <w:pPr>
        <w:adjustRightInd/>
        <w:snapToGrid/>
        <w:spacing w:lineRule="auto" w:line="240"/>
        <w:ind w:firstLine="42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本案是以下两宗案的关联案(</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证据及卷宗</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3567CC02">
      <w:pPr>
        <w:adjustRightInd/>
        <w:snapToGrid/>
        <w:spacing w:lineRule="auto" w:line="240"/>
        <w:ind w:left="420" w:leftChars="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"诉微信支付案"编号"(2025)粤0391民初8980号"；</w:t>
      </w:r>
    </w:p>
    <w:p w14:paraId="546A3848">
      <w:pPr>
        <w:pStyle w:val="style0"/>
        <w:spacing w:lineRule="auto" w:line="240"/>
        <w:jc w:val="both"/>
        <w:rPr>
          <w:rFonts w:ascii="宋体" w:eastAsia="宋体" w:hAnsi="宋体"/>
          <w:sz w:val="24"/>
          <w:szCs w:val="24"/>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"诉淘宝案"编号"(2025)浙0192民初15597号"。</w:t>
      </w:r>
    </w:p>
    <w:p w14:paraId="8AD5042D">
      <w:pPr>
        <w:pStyle w:val="style0"/>
        <w:spacing w:lineRule="auto" w:line="240"/>
        <w:jc w:val="both"/>
        <w:rPr>
          <w:rFonts w:ascii="仿宋_GB2312" w:cs="仿宋_GB2312" w:eastAsia="仿宋_GB2312" w:hAnsi="仿宋_GB2312" w:hint="eastAsia"/>
          <w:b/>
          <w:bCs/>
          <w:sz w:val="24"/>
          <w:szCs w:val="24"/>
          <w:lang w:val="en-US" w:eastAsia="zh-CN"/>
        </w:rPr>
      </w:pPr>
      <w:r>
        <w:rPr>
          <w:rFonts w:ascii="Calibri" w:cs="Times New Roman" w:eastAsia="宋体" w:hAnsi="Calibri"/>
          <w:b w:val="false"/>
          <w:bCs w:val="false"/>
          <w:i w:val="false"/>
          <w:iCs w:val="false"/>
          <w:color w:val="auto"/>
          <w:kern w:val="2"/>
          <w:sz w:val="24"/>
          <w:szCs w:val="24"/>
          <w:highlight w:val="none"/>
          <w:vertAlign w:val="baseline"/>
          <w:em w:val="none"/>
          <w:lang w:val="en-US" w:bidi="ar-SA" w:eastAsia="zh-CN"/>
        </w:rPr>
        <w:drawing>
          <wp:anchor distT="0" distB="0" distL="0" distR="0" simplePos="false" relativeHeight="4" behindDoc="false" locked="false" layoutInCell="true" allowOverlap="true">
            <wp:simplePos x="0" y="0"/>
            <wp:positionH relativeFrom="page">
              <wp:posOffset>6310669</wp:posOffset>
            </wp:positionH>
            <wp:positionV relativeFrom="page">
              <wp:posOffset>10503425</wp:posOffset>
            </wp:positionV>
            <wp:extent cx="404748" cy="719328"/>
            <wp:effectExtent l="0" t="0" r="0" b="0"/>
            <wp:wrapNone/>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2" cstate="print"/>
                    <a:srcRect l="0" t="0" r="0" b="0"/>
                    <a:stretch/>
                  </pic:blipFill>
                  <pic:spPr>
                    <a:xfrm rot="20340000">
                      <a:off x="0" y="0"/>
                      <a:ext cx="404748" cy="719328"/>
                    </a:xfrm>
                    <a:prstGeom prst="rect"/>
                  </pic:spPr>
                </pic:pic>
              </a:graphicData>
            </a:graphic>
          </wp:anchor>
        </w:drawing>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5815506</wp:posOffset>
            </wp:positionH>
            <wp:positionV relativeFrom="page">
              <wp:posOffset>10734367</wp:posOffset>
            </wp:positionV>
            <wp:extent cx="574747" cy="456565"/>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74747" cy="456565"/>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single"/>
          <w:lang w:val="en-US" w:eastAsia="zh-CN"/>
        </w:rPr>
        <w:t>北京市西城区人民法院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956D47F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04</w:t>
      </w:r>
      <w:r>
        <w:rPr>
          <w:rFonts w:ascii="仿宋_GB2312" w:cs="仿宋_GB2312" w:eastAsia="仿宋_GB2312" w:hAnsi="仿宋_GB2312" w:hint="eastAsia"/>
          <w:sz w:val="24"/>
          <w:szCs w:val="24"/>
          <w:u w:val="none"/>
          <w:lang w:val="en-US" w:eastAsia="zh-CN"/>
        </w:rPr>
        <w:t>日</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default"/>
          <w:b/>
          <w:bCs/>
          <w:sz w:val="32"/>
          <w:szCs w:val="32"/>
          <w:u w:val="single"/>
          <w:lang w:val="en-US"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sz w:val="32"/>
          <w:szCs w:val="32"/>
          <w:u w:val="single"/>
          <w:lang w:val="en-US" w:eastAsia="zh-CN"/>
        </w:rPr>
        <w:t xml:space="preserve">                       </w:t>
      </w:r>
    </w:p>
    <w:p w14:paraId="45381A5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48"/>
          <w:szCs w:val="48"/>
          <w:lang w:val="en-US" w:eastAsia="zh-CN"/>
        </w:rPr>
      </w:pP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仿宋_GB2312" w:cs="仿宋_GB2312" w:eastAsia="仿宋_GB2312" w:hAnsi="仿宋_GB2312" w:hint="default"/>
          <w:b/>
          <w:bCs/>
          <w:sz w:val="48"/>
          <w:szCs w:val="48"/>
          <w:lang w:val="en-US" w:eastAsia="zh-CN"/>
        </w:rPr>
        <w:t>证据1. 微信支付交易记录</w:t>
      </w:r>
      <w:r>
        <w:rPr>
          <w:rFonts w:ascii="仿宋_GB2312" w:cs="仿宋_GB2312" w:eastAsia="仿宋_GB2312" w:hAnsi="仿宋_GB2312" w:hint="default"/>
          <w:b/>
          <w:bCs/>
          <w:sz w:val="32"/>
          <w:szCs w:val="32"/>
          <w:lang w:val="en-US" w:eastAsia="zh-CN"/>
        </w:rPr>
        <w:t>:</w:t>
      </w:r>
    </w:p>
    <w:p w14:paraId="B13CC5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5" behindDoc="false" locked="false" layoutInCell="true" allowOverlap="true">
            <wp:simplePos x="0" y="0"/>
            <wp:positionH relativeFrom="page">
              <wp:posOffset>568137</wp:posOffset>
            </wp:positionH>
            <wp:positionV relativeFrom="page">
              <wp:posOffset>2297373</wp:posOffset>
            </wp:positionV>
            <wp:extent cx="2737658" cy="4022424"/>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257" t="12028" r="628" b="18632"/>
                    <a:stretch/>
                  </pic:blipFill>
                  <pic:spPr>
                    <a:xfrm rot="0">
                      <a:off x="0" y="0"/>
                      <a:ext cx="2737658" cy="4022424"/>
                    </a:xfrm>
                    <a:prstGeom prst="rect"/>
                  </pic:spPr>
                </pic:pic>
              </a:graphicData>
            </a:graphic>
          </wp:anchor>
        </w:drawing>
      </w:r>
      <w:r>
        <w:rPr/>
        <w:drawing>
          <wp:anchor distT="0" distB="0" distL="0" distR="0" simplePos="false" relativeHeight="3" behindDoc="false" locked="false" layoutInCell="true" allowOverlap="true">
            <wp:simplePos x="0" y="0"/>
            <wp:positionH relativeFrom="page">
              <wp:posOffset>4057327</wp:posOffset>
            </wp:positionH>
            <wp:positionV relativeFrom="page">
              <wp:posOffset>2327178</wp:posOffset>
            </wp:positionV>
            <wp:extent cx="2605597" cy="4008665"/>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5673" t="11815" r="0" b="22904"/>
                    <a:stretch/>
                  </pic:blipFill>
                  <pic:spPr>
                    <a:xfrm rot="0">
                      <a:off x="0" y="0"/>
                      <a:ext cx="2605597" cy="4008665"/>
                    </a:xfrm>
                    <a:prstGeom prst="rect"/>
                  </pic:spPr>
                </pic:pic>
              </a:graphicData>
            </a:graphic>
          </wp:anchor>
        </w:drawing>
      </w: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9ACAC8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CFD78C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0721F4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rFonts w:ascii="仿宋_GB2312" w:cs="仿宋_GB2312" w:eastAsia="仿宋_GB2312" w:hAnsi="仿宋_GB2312" w:hint="default"/>
          <w:b/>
          <w:bCs/>
          <w:sz w:val="44"/>
          <w:szCs w:val="44"/>
          <w:lang w:val="en-US" w:eastAsia="zh-CN"/>
        </w:rPr>
        <w:t>证据2. 国家标准GB/T41460-2022</w:t>
      </w:r>
    </w:p>
    <w:p w14:paraId="3E53E4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drawing>
          <wp:anchor distT="0" distB="0" distL="0" distR="0" simplePos="false" relativeHeight="8" behindDoc="false" locked="false" layoutInCell="true" allowOverlap="true">
            <wp:simplePos x="0" y="0"/>
            <wp:positionH relativeFrom="page">
              <wp:posOffset>412789</wp:posOffset>
            </wp:positionH>
            <wp:positionV relativeFrom="page">
              <wp:posOffset>6929606</wp:posOffset>
            </wp:positionV>
            <wp:extent cx="3176161" cy="5607692"/>
            <wp:effectExtent l="0" t="0" r="0" b="0"/>
            <wp:wrapNone/>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6" cstate="print"/>
                    <a:srcRect l="5508" t="5083" r="15080" b="31843"/>
                    <a:stretch/>
                  </pic:blipFill>
                  <pic:spPr>
                    <a:xfrm rot="0">
                      <a:off x="0" y="0"/>
                      <a:ext cx="3176161" cy="5607692"/>
                    </a:xfrm>
                    <a:prstGeom prst="rect"/>
                  </pic:spPr>
                </pic:pic>
              </a:graphicData>
            </a:graphic>
          </wp:anchor>
        </w:drawing>
      </w:r>
      <w:r>
        <w:rPr/>
        <w:drawing>
          <wp:anchor distT="0" distB="0" distL="0" distR="0" simplePos="false" relativeHeight="9" behindDoc="false" locked="false" layoutInCell="true" allowOverlap="true">
            <wp:simplePos x="0" y="0"/>
            <wp:positionH relativeFrom="page">
              <wp:posOffset>3727511</wp:posOffset>
            </wp:positionH>
            <wp:positionV relativeFrom="page">
              <wp:posOffset>6977513</wp:posOffset>
            </wp:positionV>
            <wp:extent cx="3219690" cy="5726660"/>
            <wp:effectExtent l="0" t="0" r="0" b="0"/>
            <wp:wrapNone/>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7" cstate="print"/>
                    <a:srcRect l="1774" t="2473" r="3673" b="29328"/>
                    <a:stretch/>
                  </pic:blipFill>
                  <pic:spPr>
                    <a:xfrm rot="0">
                      <a:off x="0" y="0"/>
                      <a:ext cx="3219690" cy="5726660"/>
                    </a:xfrm>
                    <a:prstGeom prst="rect"/>
                  </pic:spPr>
                </pic:pic>
              </a:graphicData>
            </a:graphic>
          </wp:anchor>
        </w:drawing>
      </w:r>
    </w:p>
    <w:p w14:paraId="8E3A26D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EF42D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76836D3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AB1DC3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7F973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910039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BF8D33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D63630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90D3F23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623AC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5FC081B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pPr>
      <w:r>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t>......</w:t>
      </w: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36"/>
          <w:szCs w:val="36"/>
          <w:lang w:val="en-US"/>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AE67845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sz w:val="28"/>
          <w:szCs w:val="36"/>
        </w:rPr>
        <w:drawing>
          <wp:anchor distT="0" distB="0" distL="0" distR="0" simplePos="false" relativeHeight="6" behindDoc="false" locked="false" layoutInCell="true" allowOverlap="true">
            <wp:simplePos x="0" y="0"/>
            <wp:positionH relativeFrom="page">
              <wp:posOffset>1824262</wp:posOffset>
            </wp:positionH>
            <wp:positionV relativeFrom="page">
              <wp:posOffset>6605096</wp:posOffset>
            </wp:positionV>
            <wp:extent cx="4228359" cy="6011052"/>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16200000">
                      <a:off x="0" y="0"/>
                      <a:ext cx="4228359" cy="6011052"/>
                    </a:xfrm>
                    <a:prstGeom prst="rect"/>
                  </pic:spPr>
                </pic:pic>
              </a:graphicData>
            </a:graphic>
          </wp:anchor>
        </w:drawing>
      </w:r>
      <w:r>
        <w:rPr/>
        <w:drawing>
          <wp:anchor distT="0" distB="0" distL="0" distR="0" simplePos="false" relativeHeight="7" behindDoc="false" locked="false" layoutInCell="true" allowOverlap="true">
            <wp:simplePos x="0" y="0"/>
            <wp:positionH relativeFrom="page">
              <wp:posOffset>531647</wp:posOffset>
            </wp:positionH>
            <wp:positionV relativeFrom="page">
              <wp:posOffset>2675756</wp:posOffset>
            </wp:positionV>
            <wp:extent cx="6702171" cy="4759216"/>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6702171" cy="4759216"/>
                    </a:xfrm>
                    <a:prstGeom prst="rect"/>
                  </pic:spPr>
                </pic:pic>
              </a:graphicData>
            </a:graphic>
          </wp:anchor>
        </w:drawing>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b/>
          <w:bCs/>
          <w:sz w:val="48"/>
          <w:szCs w:val="48"/>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7309C68C">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D2D13445">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0000024"/>
    <w:multiLevelType w:val="hybridMultilevel"/>
    <w:tmpl w:val="606CC5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0000025"/>
    <w:multiLevelType w:val="hybridMultilevel"/>
    <w:tmpl w:val="DACB9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0000026"/>
    <w:multiLevelType w:val="hybridMultilevel"/>
    <w:tmpl w:val="E0498712"/>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4"/>
  </w:num>
  <w:num w:numId="53">
    <w:abstractNumId w:val="35"/>
  </w:num>
  <w:num w:numId="54">
    <w:abstractNumId w:val="35"/>
  </w:num>
  <w:num w:numId="55">
    <w:abstractNumId w:val="36"/>
  </w:num>
  <w:num w:numId="56">
    <w:abstractNumId w:val="36"/>
  </w:num>
  <w:num w:numId="57">
    <w:abstractNumId w:val="37"/>
  </w:num>
  <w:num w:numId="58">
    <w:abstractNumId w:val="37"/>
  </w:num>
  <w:num w:numId="59">
    <w:abstractNumId w:val="38"/>
  </w:num>
  <w:num w:numId="60">
    <w:abstractNumId w:val="3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2675</Words>
  <Pages>30</Pages>
  <Characters>3249</Characters>
  <Application>WPS Office</Application>
  <DocSecurity>0</DocSecurity>
  <Paragraphs>131</Paragraphs>
  <ScaleCrop>false</ScaleCrop>
  <LinksUpToDate>false</LinksUpToDate>
  <CharactersWithSpaces>3528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2025-09-02T17:26:05Z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